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multicritère et caractérisation du modèle de gestion intégrée des ressources en eau de la vallée du rhumel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Kiniouar; Hocine/ Hani, Azzedine/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Doctarat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ressources en eau/ climat semi-aride/ sous-bassin méditerranéen/ </w:t>
            </w:r>
          </w:p>
        </w:tc>
      </w:tr>
    </w:tbl>
    <w:p>
      <w:pPr>
        <w:pStyle w:val="Heading3"/>
      </w:pPr>
      <w:r>
        <w:t>Résumé :</w:t>
      </w:r>
    </w:p>
    <w:p>
      <w:r>
        <w:t>Dans cette étude, nous avons évalué la demande en eau pour répondre aux besoins des utilisateurs de l'eau dans la wilaya de constantine. cette dernière est située dans le bassin du kébir-rhumel sous un climat semi-aride au sud et subhumides au nord, avec un taux de croissance relativement élevé de la population, des activités agricoles et industrielles.en utilisant water evaluation and planning system (weap21), nous avons construit un modèle pour estimer la demande en eau de la wilaya de constantine en suivant une approche par limites administratives ensuite il s'est avéré nécessaire de suivre une meilleur approche qui celle des d'une gestion de l'eau en prenant en compte les limites naturelles par sous-bassin. et c'est là que le choix a était fait pour le boumerzoug qui est le sous-bassin supérieur du kébir-rhumel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