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Integration flexible des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Metrouh; Abdelmalek/ Mokhati, Farid/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composition/ Service web/ représentation de la connaissance/ </w:t>
            </w:r>
          </w:p>
        </w:tc>
      </w:tr>
    </w:tbl>
    <w:p>
      <w:pPr>
        <w:pStyle w:val="Heading3"/>
      </w:pPr>
      <w:r>
        <w:t>Résumé :</w:t>
      </w:r>
    </w:p>
    <w:p>
      <w:r>
        <w:t xml:space="preserve">La composition dynamique ou l'intégration reste l'un des objectifs clés de la technologie des services Web. Cette thèse vise à proposer une approche innovante de la composition dynamique des services Web basée sur les attributs fonctionnels et non fonctionnels et les préférences individuelles. Dans cette approche, la composition des services Web est liée aux réseaux sociaux et prend en compte l'historique d'invocation des services par les utilisateurs. Les réseaux sociaux de services Web sont des structures dynamiques utilisées pour maintenir les interactions entre les services Web afin de sélectionner et de composer des services Web plus étroitement liés aux préférences de l'utilisateur. Nous utilisons le concept de communauté de services Web dans un réseau social de services Web pour réduire considérablement l'espace de recherche de ces derniers. Ces communautés sont créées par l'implication directe des fournisseurs de services Web.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