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Stratégie de mobilisation des ressources en eau non conventionnelle Approche méthodologique Etude prospective du cas des eaux usées épurées de la ville d’Annaba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Nafaa; Dhikrane/ Hammar, 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usées épurée/ périmètres irrigués/ </w:t>
            </w:r>
          </w:p>
        </w:tc>
      </w:tr>
    </w:tbl>
    <w:p>
      <w:pPr>
        <w:pStyle w:val="Heading3"/>
      </w:pPr>
      <w:r>
        <w:t>Résumé :</w:t>
      </w:r>
    </w:p>
    <w:p>
      <w:r>
        <w:t>Les résultats font ressortir une valeur économique moyenne optimale de 0,182 MDA/ha, en irrigué d'une Surface Agricole Utile de 3.000/5.000 ha de cultures assolées avec 14hm3, soit 87,5 % de la demande totale de 16 hm3; le restant devrait irriguer une Surface Agricole Utile de 267/2.000 ha réservée à l'arboriculture.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