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suivi de la qualité des eaux du barrage hammam debagh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Zeghaba; Nadjette/ Laraba, Abdel Aziz/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bassin versant/ barrage/ qualité des eaux/ oued bouhamdane/ </w:t>
            </w:r>
          </w:p>
        </w:tc>
      </w:tr>
    </w:tbl>
    <w:p>
      <w:pPr>
        <w:pStyle w:val="Heading3"/>
      </w:pPr>
      <w:r>
        <w:t>Résumé :</w:t>
      </w:r>
    </w:p>
    <w:p>
      <w:r>
        <w:t>Les cours d'eausont souvent chargés de matière en suspension. un excès de matière présente généralement un risque de contamination concernant les eaux d'irrigation ainsi que pour les eaux souterraines. la région de hammam debagh, se trouve au centre d'une agglomération agricole, entourée de montagnes. cette région trouve sa fertilité grâce notamment à l'oued bouhamdane et au grand barrage qui assure un vaste périmètre d'irrigation (13000 ha). cependant, le développement de l'industrie, accompagné d'une croissance très poussée de la population ont entraîné une détérioration de la nature des eaux superficielles et souterraines.afin d'évaluer la qualité des eaux du bassin versantel'ouedouhamdane, vingt-sept (27) échantillons ont été prélevés et analysés en partie amont du bassin (oued bouhamdane, oued bordj sabat et oued zenati), pendant deux périodes, et une série de onze (11) années d'observation (2005/2015) en partie aval (barrage hammam debagh).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