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du Cr(VI) en solution aqueuse par le kaolin de Tamazert et son dosage sous forme de complexe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Guendouz; Safia/ Rebbani, Nacer/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adsorption/ Chrome hexavalen/ Kaolin de Tamazert/ </w:t>
            </w:r>
          </w:p>
        </w:tc>
      </w:tr>
    </w:tbl>
    <w:p>
      <w:pPr>
        <w:pStyle w:val="Heading3"/>
      </w:pPr>
      <w:r>
        <w:t>Résumé :</w:t>
      </w:r>
    </w:p>
    <w:p>
      <w:r>
        <w:t>Le rejet de métaux lourds dans l'environnement pose des problèmes majeurs pour les écosystèmes et la santé humaine. Parmi les solutions proposées pour la dépollution, les techniques d'adsorption semblent particulièrement prometteuses. L'objectif de ce travail est l'étude de l'immobilisation des ions chrome (Cr(VI)) en solution aqueuse par adsorption sur le kaolin de Tamazert naturel et activé. Des essais en batch ont été réalisés afin d'étudier l'effet de la masse d'adsorbant, du pH, du temps de contact et de la température sur l'adsorption. Les résultats d'adsorption du chrome  (VI) ont montré qu'elle est maximale à pH=2 et qu'elle augmente avec la température pour tous les adsorbant.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