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valorisation des déchetsminiers, cas des stériles francs de la mine de boukhadra-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Rouaiguia; Issam/ Bounouala, Mohamed/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Séparation magnétique/ Mine de fer/ , Boukhadra, déchets miniers,/ </w:t>
            </w:r>
          </w:p>
        </w:tc>
      </w:tr>
    </w:tbl>
    <w:p>
      <w:pPr>
        <w:pStyle w:val="Heading3"/>
      </w:pPr>
      <w:r>
        <w:t>Résumé :</w:t>
      </w:r>
    </w:p>
    <w:p>
      <w:r>
        <w:t xml:space="preserve">Les travauxmenéessur les déchets miniers de fer de Boukhadra ont permis de déduire que les stériles francs sont constitués de calcaire, d'hématite, de marnes grises et jaunes, d'une teneur moyenne de 20 % en Fe2O3, les analyses minéralogique et granulo-chimique effectuées ont permis de révéler que la classe riche en fer (27,67% Fe2O3) se situe entre -0,5 + 0,25 mm.En sebasant sur les propriétés physiques de ces déchets miniers, la susceptibilité magnétique a été prise en compte pour l'enrichissement des minéraux de fer faiblement magnétiques par séparation magnétique à haute intensité en voie sèche (SMHI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