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risques environnementaux de trois insecticides sélectifs sur un organisme non ciblé Palaemon adspersus (Crustacaa, Decapoda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Lechekhab-Ahmedchaouch; Hanene/ Soltani, N./ Université Badji Mokhtr/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palaemon adspersus/ chitine/ crustacé/ dimilin/ </w:t>
            </w:r>
          </w:p>
        </w:tc>
      </w:tr>
    </w:tbl>
    <w:p>
      <w:pPr>
        <w:pStyle w:val="Heading3"/>
      </w:pPr>
      <w:r>
        <w:t>Résumé :</w:t>
      </w:r>
    </w:p>
    <w:p>
      <w:r>
        <w:t>Cette étude conduite dans les conditions de laboratoire, porte dans une première partie sur l'effet de deux perturebateurs de croissance des insectes (PCIs): le dimilin (DFB), inhibiteur de la synthèse de la chitine et le méthoxyfénozide (RH-2485), agoniste de l'hormone de mue sur le poids corporel, la composition biochimique de la cuticule, sur le taux du glutathion (GSH) et l'activité spécifique de l'acétylcholinestérase (AChE) chez la crevette Palaemon adspersus Rathke, 1837 (Crustacea, Decapoda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