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tératogènes du diabète expérimental chez le ratwstar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Amina/ Ouali, Kheireddine/ Unversite BadjiMokhtar/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grossesse/ Cistanchetinctoria/ Résultat reproductif/ Anomalie/ </w:t>
            </w:r>
          </w:p>
        </w:tc>
      </w:tr>
    </w:tbl>
    <w:p>
      <w:pPr>
        <w:pStyle w:val="Heading3"/>
      </w:pPr>
      <w:r>
        <w:t>Résumé :</w:t>
      </w:r>
    </w:p>
    <w:p>
      <w:r>
        <w:t>Le premier objectif de cette étude était d'observer l'effet antidiabétique et antioxydant des extraits aqueux et méthanoliques de Cistanche tinctoria dans le diabète sucré induit par la streptozitocine.</w:t>
        <w:br/>
        <w:br/>
        <w:t xml:space="preserve">Le deuxième objectif était d'évaluer l'effet anti-tératogène du traitement parles extraits deCistanchetinctoria chez les rattes gestantes diabétiques et non diabétiques. Les extraits aqueux (EA) et méthanoliques (EM) ont été administrés quotidiennement à doses de 200 mg / kg de poids corporel chez les rats rendu diabétiques par la streptozotocine pendant une période de 21 jours.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