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basée contexte pour la médiation des propriétés des services Web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Mecheri; Karima/ Souici-meslati, Labiba/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Interopérabilité des systèmes d'information/ hétérogénéité des services Web/ </w:t>
            </w:r>
          </w:p>
        </w:tc>
      </w:tr>
    </w:tbl>
    <w:p>
      <w:pPr>
        <w:pStyle w:val="Heading3"/>
      </w:pPr>
      <w:r>
        <w:t>Résumé :</w:t>
      </w:r>
    </w:p>
    <w:p>
      <w:r>
        <w:t>Notre travail de recherche se situe dans le cadre général des architectures orientées services pour l'interopérabilité des systèmes d'information des entreprises. Etant donné que les services en interaction ne sont pas conçus initialement pour inter-opérer ensemble, des hétérogénéités peuvent apparaître à plusieurs niveaux touchant aussi bien leurs propriétés fonctionnelles (comportementales, fonctionnalités offertes, encodage, données échangées, …etc.) que leurs propriétés non fonctionnelles (transactionnelles, qualité des services, …etc.), empêchant leur coopération. De ce fait, l'objectif principal de ce travail est de proposer une approche permettant la médiation des propriétés des services Web afin de résoudre les conflits sémantiques pouvant apparaître entre un service Web émetteur et un service Web récepteur. Nous effectuons une étude comparative des travaux existants puis nous présentons une approche et une architecture basées sur la notion de contexte pour la médiation des propriétés des services Web. En effet, nous décrivons une architecture sémantique (modèle de référence) avec des ontologies pour capturer la sémantique des propriétés des services Web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