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Implication du transport maritime dans l'introduction des d'especes envahissantes (cas du port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Cheniti; Radhia/ Frihi, Hocine/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trafic maritime/ eau de ballast, port d'Annaba/ espèces envahissantes/ </w:t>
            </w:r>
          </w:p>
        </w:tc>
      </w:tr>
    </w:tbl>
    <w:p>
      <w:pPr>
        <w:pStyle w:val="Heading3"/>
      </w:pPr>
      <w:r>
        <w:t>Résumé :</w:t>
      </w:r>
    </w:p>
    <w:p>
      <w:r>
        <w:t xml:space="preserve">Le trafic maritime en Algérie se caractérise par un déséquilibre entre les importations et les exportations. L'Algérie dispose de 10 ports commerciaux de petites et moyennes tailles, avec un trafic total annuel de 80 millions de tonnes.Environ 10 000 navires visitent les ports algériens chaque année.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