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 la machine asynchrone triphasée en présence de défaut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Benamira; Nadir/ Rachedi/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moteurs asynchrones/ diagnostic des défaut/ déséquilibre de la tension d'alimentation/ </w:t>
            </w:r>
          </w:p>
        </w:tc>
      </w:tr>
    </w:tbl>
    <w:p>
      <w:pPr>
        <w:pStyle w:val="Heading3"/>
      </w:pPr>
      <w:r>
        <w:t>Résumé :</w:t>
      </w:r>
    </w:p>
    <w:p>
      <w:r>
        <w:t>Les moteurs asynchrones triphasés sont exposés à de différents défauts internes et externes en cours de fonctionnement; le déséquilibre de la tension d'alimentation  est l'un des défauts externes les plus dominants qui entraînent la dégradation de leurs performances. Bien que, dans la littérature il y a eu des recherches relativement limitées qui traitent la détection du déséquilibre de tension et qui sont dirigées pour présenter la confusion et la similitude des signatures entre le déséquilibre de tension et le court-circuit statorique. ? cet effet, ce travail vise à comprendre et à identifier le déséquilibre de tension afin de réduire l'incertitude et améliorer la fiabilité du diagnostic. Des tests de simulation et d'expérimentation ont été réalisés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