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 vie urbaine et la gestion territoriale dans une ville intérieure cas de la ville de Khenchela (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Djebnoune; Brahim/ Boukhemis, Kaddour/ </w:t>
            </w:r>
          </w:p>
        </w:tc>
      </w:tr>
      <w:tr>
        <w:trPr>
          <w:trHeight w:val="567"/>
        </w:trPr>
        <w:tc>
          <w:tcPr>
            <w:tcW w:type="dxa" w:w="3000"/>
          </w:tcPr>
          <w:p>
            <w:r>
              <w:t>Nombre de Pages</w:t>
            </w:r>
          </w:p>
        </w:tc>
        <w:tc>
          <w:tcPr>
            <w:tcW w:type="dxa" w:w="7000"/>
          </w:tcPr>
          <w:p>
            <w:r>
              <w:t>308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développement durable/ qualité de vie/ quartier/ Qualité environnementale/ Analyse factorielle des correspondances (AFC)./ </w:t>
            </w:r>
          </w:p>
        </w:tc>
      </w:tr>
    </w:tbl>
    <w:p>
      <w:pPr>
        <w:pStyle w:val="Heading3"/>
      </w:pPr>
      <w:r>
        <w:t>Résumé :</w:t>
      </w:r>
    </w:p>
    <w:p>
      <w:r>
        <w:t>Pour le présent travail, l'entrée par les représentations, les perceptions et les aspirations des habitants de cinq quartiers de la ville de Khenchela ainsi avec les acteurs locaux, a été privilégiée, c'est une manière de donner la parole aux composantes de la ville pour redonner sens à la qualité de vie du quotidien et justifier l'exercice de son évaluation.</w:t>
        <w:br/>
        <w:br/>
        <w:t xml:space="preserve">Comment anticiper les effets des diverses transformations de la société, dont le rythme va encore s'accélérer à l'avenir ? Pour mettre en place des solutions qui garantissent une cohésion sociale, le quartier représente une échelle idéale : moins complexe que l'ensemble de la ville,  </w:t>
        <w:br/>
        <w:br/>
        <w:t>A l'heure où la question de la qualité de vie est au coeur des projets d'aménagement et de développement et une dimension forte du développement durable, le traitement et la gestion de nos villes et des problèmes qui s'y attachent devront avoir pour finalité la réponse à la demande sociale du confort, du bien-être, du bien vivre, du progrès social.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