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 de la décarburation dans les revêtements à base de carbure de tungstène fabriqués par la torche HVOF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Amina/ Bouaricha, Salim/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propriétés mécaniques/ revêtements/ carbure de tungstène/ décarburisation/ analyse Rietveld/ </w:t>
            </w:r>
          </w:p>
        </w:tc>
      </w:tr>
    </w:tbl>
    <w:p>
      <w:pPr>
        <w:pStyle w:val="Heading3"/>
      </w:pPr>
      <w:r>
        <w:t>Résumé :</w:t>
      </w:r>
    </w:p>
    <w:p>
      <w:r>
        <w:t xml:space="preserve">Neuf revêtements à base de deux poudres de départ WC-12% Co, microcristalline et bi-modale, ont été projetés avec une torche HVOF. Plusieurs conditions de projection ont été utilisées afin d'étudier le phénomène de décarburation de la phase WC qui se produit lors de la réalisation de ces revêtements. L'affinement des spectres de diffraction des rayons X a été effectué par analyse Rietveld, afin de mesurer les proportions des phases issues de la décarburation. Différentes corrélations ont été établies reliant l'histoire thermique et les paramètres de projection, à la microstructure et les propriétés des revêtements. Les résultats ont permis de discerner deux étapes menant à la décarburation: pendant le vol et lors du refroidissement sur le substrat.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