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phénotypique et  génotypique de la résistance aux antibiotiques des souches du genre Enterococcus d'origine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Bourafa; Nadjette/ Boutefnouchet, Nafissa/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résistance aux antibiotiques./ typage moléculaire/ Entérocoques/ clonalité/ </w:t>
            </w:r>
          </w:p>
        </w:tc>
      </w:tr>
    </w:tbl>
    <w:p>
      <w:pPr>
        <w:pStyle w:val="Heading3"/>
      </w:pPr>
      <w:r>
        <w:t>Résumé :</w:t>
      </w:r>
    </w:p>
    <w:p>
      <w:r>
        <w:t xml:space="preserve">Cette étude décrit pour la première fois en Algérie l'identification d'E. faecalis ST6 et E. faecium ST17 et ST18. D'autre part, la vancomycine, le linezolide et la tigécycline se sont révélés efficaces contre les isolats.  </w:t>
        <w:br/>
        <w:br/>
        <w:t>Bien que la résistance acquise à la vancomycine n'a pas été détectée, il est nécessaire de bien cerner l'étendue et le développement de la résistance aux antibiotiques par l'usage  prudent des antibiotiques et la mise en place des mesures d'hygiènes hospitalières.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