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structurale et magnétique des alliages amorphes à base de fer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Touares; Abdelhay/ Soltani, Mohamed Larbi/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hystérésis/ Alliages amorphes/ méthodes thermiques/ Processus de cristallisation/ propriétés d'aimantation/ Champ coercitif/ </w:t>
            </w:r>
          </w:p>
        </w:tc>
      </w:tr>
    </w:tbl>
    <w:p>
      <w:pPr>
        <w:pStyle w:val="Heading3"/>
      </w:pPr>
      <w:r>
        <w:t>Résumé :</w:t>
      </w:r>
    </w:p>
    <w:p>
      <w:r>
        <w:t xml:space="preserve">Dans cette étude, nous avons étudié les alliages amorphes à base de fer (Fe78B13Si9) qui sont utilisés avec succès comme matériaux de base dans les transformateurs de distribution en raison de leurs faibles pertes de noyau, de leur aimantation à saturation relativement élevée et de leur faible courant d'excitation. Puis, nous avons étudié l'influence des traitements thermiques sur les propriétés structurale et sur les propriétés magnétiques du Fe78B13Si9 brut et réarrangé après relaxation des contraintes. Le comportement de cristallisation des rubans Fe78B13Si9 amorphes et traités a été revisité. Les mesures ont été effectuées au moyen de la calorimétrie différentielle à balayage (DSC) et au moyen des mesures de résistivité électrique (?) et de pouvoir thermoélectrique absolu (PTA), qui constitue une nouveauté dans l'étude de ce matériau.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