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et étude de matériaux magnétiques nanostructurés (Fe1-XMnX )2P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Brahimi; Afef/ Alleg, Safia/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broyage mécanique haute énergie/ DSC/ propriétés magnétiques/ diffraction des rayons x/ Système (Fe1?xMnx)2P/ Spectrométrie M?ssbauer/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broyage mécanique haute énergie a été utilisé pour élaborer les phosphures (Fe1?xMnx)2P (avec x=0,15, 0,25, 0,40 et 0,75) dans un broyeur  planétaire  type Retsch PM 400/2. Les propriétés morphologiques,  microstructurales, structurales, magnétiques et thermiques des poudres broyées ont été suivies par microscopie électronique à balayage, diffraction des rayons X en utilisant un programme d'affinement structural (MAUD) basé sur la méthode de Rietveld, spectrométrie M?ssbauer, magnétomètres et analyse calorimétrique différentielle, respectivement. Les résultats de la diffraction des rayons X révèlent la coexistence des structures cubique centré type?Fe(Mn), hexagonales type?Fe2P et type?Mn2P, tétragonale type?Fe3P et orthorhombique type?MnP/FeP pour tous les échantillons. 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