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 matériaux magnétiques nanostructurés (Fe1-XMnX )2P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Brahimi; Afef/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mécanique haute énergie/ DSC/ propriétés magnétiques/ diffraction des rayons x/ Système (Fe1?xMnx)2P/ Spectrométrie M?ssbauer/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broyage mécanique haute énergie a été utilisé pour élaborer les phosphures (Fe1?xMnx)2P (avec x=0,15, 0,25, 0,40 et 0,75) dans un broyeur  planétaire  type Retsch PM 400/2. Les propriétés morphologiques,  microstructurales, structurales, magnétiques et thermiques des poudres broyées ont été suivies par microscopie électronique à balayage, diffraction des rayons X en utilisant un programme d'affinement structural (MAUD) basé sur la méthode de Rietveld, spectrométrie M?ssbauer, magnétomètres et analyse calorimétrique différentielle, respectivement. Les résultats de la diffraction des rayons X révèlent la coexistence des structures cubique centré type?Fe(Mn), hexagonales type?Fe2P et type?Mn2P, tétragonale type?Fe3P et orthorhombique type?MnP/FeP pour tous les échantillons.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