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des polyoxométallates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Tabai; Abir/ Bechiri, Ouahiba/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Oxydation catalytique/ hétéropolyanions/ colorants azoïques/ recyclage du catalyseur/ </w:t>
            </w:r>
          </w:p>
        </w:tc>
      </w:tr>
    </w:tbl>
    <w:p>
      <w:pPr>
        <w:pStyle w:val="Heading3"/>
      </w:pPr>
      <w:r>
        <w:t>Résumé :</w:t>
      </w:r>
    </w:p>
    <w:p>
      <w:r>
        <w:t xml:space="preserve">L'étude des  hétéropolyanions de type Dawson et leurs applications dans la dépollution des eaux est l'intérêt qu'on accorde aujourd'hui. Dans ce travail de recherche notre objectif principal réside dans leurs applications en catalyse d'oxydation homogène (Fenton-like) des deux colorants azoïques : Acid Orange 7et Acid Yellow 99, présents dans les effluents des industries textiles.    </w:t>
        <w:br/>
        <w:br/>
        <w:t>Contrairement au procédé Fenton classique, cette nouvelle approche permet d'éliminer les molécules de colorants sans formation des boues d'hydroxydes ferrique. Pour ce faire, nous avons ainsi synthétisé nos propres catalyseurs hétéropolyanioniques recyclables (Fe(III)P2W18O62) et (Fe(III)P2W12Mo6), en incorporant le fer (Fe3+) dans leurs formes acides.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