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commande d'une génératrice asynchrone à double alimentation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Azza; Abdelaziz/ Kherfane, Hamid/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commande vectorielle/ mppt/ aérogénérateur/ contrôleur PI d'ordre fractionnaire/ génératrice asynchrone à double alimentation/ </w:t>
            </w:r>
          </w:p>
        </w:tc>
      </w:tr>
    </w:tbl>
    <w:p>
      <w:pPr>
        <w:pStyle w:val="Heading3"/>
      </w:pPr>
      <w:r>
        <w:t>Résumé :</w:t>
      </w:r>
    </w:p>
    <w:p>
      <w:r>
        <w:t xml:space="preserve">Les travaux de la thèse se sont essentiellement portés sur les aérogénérateurs à base de la génératrice asynchrone à double alimentation (GADA). Ce choix a été motivé par le fait que cette génératrice était la plus appropriée pour l'aérogénérateur, surtout en termes de coût de production. L'objectif de cette thèse est donc d'étudier la modélisation et la commande d'une génératrice asynchrone à double alimentation installée dans un aérogénérateur à vitesse variable raccordé au réseau électrique, dont le stator est directement connecté au réseau, tandis que le rotor est connecté au réseau par l'intermédiaire d'un convertisseur dos-à-dos avec un bus continu.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