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longévité et de la qualité technologique au vieillissement naturel de semences macrobiotiquesqaq</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Soussa; Amel/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qualité technologique/ blé dur/ vigueur/ vieillissement naturel/ viabilité/ </w:t>
            </w:r>
          </w:p>
        </w:tc>
      </w:tr>
    </w:tbl>
    <w:p>
      <w:pPr>
        <w:pStyle w:val="Heading3"/>
      </w:pPr>
      <w:r>
        <w:t>Résumé :</w:t>
      </w:r>
    </w:p>
    <w:p>
      <w:r>
        <w:t xml:space="preserve">Ce travail avait pour objectif d'étudier l'effet de vieillissement naturel  sur la viabilité et la qualité technologique de quatre variétés de blé dur, conservées pendant  deux années sous deux conditions de stockage à savoir des conditions favorables dans la chambre froide, température (-04c°) ; humidité (12%) ; et des conditions défavorables (ambiantes) , température estimée entre 10 et 36°C;et une humidité relative de 48 à 83%. </w:t>
        <w:br/>
        <w:br/>
        <w:t xml:space="preserve">Pour ce faire, une étude des paramètres, morphologiques, physiologiques, biochimiques et technologiques a été initiée sur la semence et ce, pendant  la phase de germination, croissance et sur la plante entière.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