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propriété des mortiers et bétons à base de granulats récyclés et leurs durabilités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Layachi/ Arabi, Nourredine/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environnement/ durabilité/ granulats recyclés/ rhéologie/ propriétés mécaniques/ </w:t>
            </w:r>
          </w:p>
        </w:tc>
      </w:tr>
    </w:tbl>
    <w:p>
      <w:pPr>
        <w:pStyle w:val="Heading3"/>
      </w:pPr>
      <w:r>
        <w:t>Résumé :</w:t>
      </w:r>
    </w:p>
    <w:p>
      <w:r>
        <w:t xml:space="preserve">Ce travail de thèse a pour mission d'apprécier la valorisation des granulats recyclés issus des bétons de structure déconstruits, en les intégrant partialement ou entièrement dans de nouveaux matériaux cimentaires (mortiers et bétons). Quantifier les propriétés de ces matériaux cimentaires aux différents états frais et durci, deux sortes de granulats recyclés sont testées, sables (RS) caractérisés par fortes teneurs en fillers et graviers (GR) qui sont pour la plus grande part issus de la phase de concassage du béton de structure démoli.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