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indices de rétention d'une série de composantes  alimentaires et polluantes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Mebarki; Fatiha/ Ali- Mokhnache, Salima/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Régression LAD/ Robustesse/ Points levier/ tests statistique/ PLS/ Observation aberrante/ </w:t>
            </w:r>
          </w:p>
        </w:tc>
      </w:tr>
    </w:tbl>
    <w:p>
      <w:pPr>
        <w:pStyle w:val="Heading3"/>
      </w:pPr>
      <w:r>
        <w:t>Résumé :</w:t>
      </w:r>
    </w:p>
    <w:p>
      <w:r>
        <w:t>Les Relations  quantitative structure-rétention (QSRR) ont étés appliqués pour la modélisation  des indices de rétention des composés pyrazines séparées  par CPG sur deux colonnes différentes l'une non polaire (OV-101) et l'autre polaire (CRW-20M).</w:t>
        <w:br/>
        <w:br/>
        <w:t>Les différentes méthodes d'estimation (MLR, LAD, PLS) sur les modèles linéaires obtenus montrent quels descripteurs jouent un rôle important dans la variation de l'indice de rétention de ces Pyrazines, ainsi que leur comparaison ; pour élucider les  problèmes majeurs des données aberrantes et  de la multicolinéarité par des équations des hyperplans et graphiques. L'élution des pyrazines sur la colonne polaire (CRW-20M) est la plus adaptée.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