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Diversité et structure génétique de la gorgone jaune Eunicella cavolini en Méditerranée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Masmoudi; Moutassem Billah/ Chaoui, Lamya/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méditerranée/ Eunicella  cavolini/ génétique  de  la  conservation/ histoire  démographique/ microsatellites/ </w:t>
            </w:r>
          </w:p>
        </w:tc>
      </w:tr>
    </w:tbl>
    <w:p>
      <w:pPr>
        <w:pStyle w:val="Heading3"/>
      </w:pPr>
      <w:r>
        <w:t>Résumé :</w:t>
      </w:r>
    </w:p>
    <w:p>
      <w:r>
        <w:t>Ce travail est consacré à l'étude d'un octocoralliaire méditerranéen, la gorgone jaune Eunicella cavolini (Koch, 1887). Il comporte trois chapitres.</w:t>
        <w:br/>
        <w:br/>
        <w:t xml:space="preserve">Le premier chapitre est une revue bibliographique des principales études qui traitent la diversité et la structure génétique des espèces d'octocoralliaire, autrefois touchées par des mortalités massives liées aux élévations de températures de l'eau dans la Méditerranée. Le deuxième chapitre de notre étude fournit les premières données sur la structure génétique de notre espèce modèle, la gorgone jaune E. cavolini. Le troisième chapitre est dédié à l'étude de l'histoire de démographie de notre espèce modèle.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