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Cartographie et étude hydrochimique des eaux souterraines de la plaine de tamlouka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Djorfi; Samir/ Djidel, Mohamed/ Université Badji Mokhtar/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bassin versant/ sig/ inondation/ télédétection/ semi-aride/ hydrothermalisme/ </w:t>
            </w:r>
          </w:p>
        </w:tc>
      </w:tr>
    </w:tbl>
    <w:p>
      <w:pPr>
        <w:pStyle w:val="Heading3"/>
      </w:pPr>
      <w:r>
        <w:t>Résumé :</w:t>
      </w:r>
    </w:p>
    <w:p>
      <w:r>
        <w:t xml:space="preserve">Le traitement de ce thème de recherche a été guidé par le souci de mieux comprendre les mécanismes de fonctionnement de ce système aquifère suivant les apports climatiques et la nature géomorphologique depuis ses conditions aux limites jusqu'à ses caractéristiques hydrogéologiques et physico-chimiques, ainsi que les questions d'ordre environnemental, à savoir la présence de polluants et leurs origines, et par conséquence la contribution à la valorisation et la protection de cette richesse naturel irréversible. </w:t>
        <w:br/>
        <w:br/>
        <w:t>suite à un ensemble de données caractérisant ce système aquifère et  son environnement, un programme d'action a été conçu pour mener un suivi des variations, en fonction de la lithologie, des conditions topographiques, des facteurs climatiques ainsi que de l'intervention anthropique. nous avons ainsi pu étudier l'évolution des paramètres hydrogéologiques et physicochimiques au cours de plusieurs campagnes de mesures et de prélèvements (depuis 2013 jusqu'à 2017).</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