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Isolement et caractérisation des rhizobactéries piégées par la légumineuse Lathyrus ochrus L. cultivée sur substrat enrichi en minerai de fer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Lemboub; Chama/ Chekireb,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metaux lourds/ Lathyrus ochrus L./ rhizobactéries/ phosphates inorganiques/ fixation d'azote/ </w:t>
            </w:r>
          </w:p>
        </w:tc>
      </w:tr>
    </w:tbl>
    <w:p>
      <w:pPr>
        <w:pStyle w:val="Heading3"/>
      </w:pPr>
      <w:r>
        <w:t>Résumé :</w:t>
      </w:r>
    </w:p>
    <w:p>
      <w:r>
        <w:t>L'étude de la tolérance aux stress métallique et salin a montré que la majorité des isolats ont bien résisté aux métaux lourds testés selon l'ordre suivant : Fe++, Hg++, Pb++ &gt; CrVI+&gt; Cu++&gt; Ni++ &gt; Cd++ &gt;Zn++ &gt; Co++. Les isolats qui ont bien résisté aux métaux lourds sont souvent ceux qui ont toléré jusqu'à 5% de NaCl.</w:t>
        <w:br/>
        <w:br/>
        <w:t>En se basant sur les caractéristiques phénotypiques, symbiotiques et biochimiques, ces rhizobactéries appartiendraient à la classe des Béta-Protéobactéries (Burkholderia sp et Cupriavidus sp) et Gamma-Protéobactéries (Pseudomonas sp).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