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du Spinosad chez un modèle fondamental de recherche Drosophila melanogaster (Diptera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Chaabane; Merièm/ Loucif-Ayad, Wahida/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toxicité/ métabolites/ spinosad/ vitellogenèse/ Drosophila/ Stress/ Rémanence/ </w:t>
            </w:r>
          </w:p>
        </w:tc>
      </w:tr>
    </w:tbl>
    <w:p>
      <w:pPr>
        <w:pStyle w:val="Heading3"/>
      </w:pPr>
      <w:r>
        <w:t>Résumé :</w:t>
      </w:r>
    </w:p>
    <w:p>
      <w:r>
        <w:t xml:space="preserve">Dans un premier temps, des tests de toxicité ont été effectués afin de préciser les doses d'inhibition (DI), dont la DI50 qui a été retenue pour évaluer les effets du Spinosad sur les principaux métabolites (glucides, protéines et lipides) et sur les marqueurs de toxicité (GSTs, CAT, AChE) et de reprotoxicité (vitellogénines). Le Spinosad, chez D.melanogaster, entraîne une inhibition de la mue nymphale avec une relation dose-réponse; les DI déterminées grâce à une régression non linéaire, sont de 288.50 et 2963 ng pour les DI50 et DI90 respectivement. Le Spinosad, testé à la DI50, induit un mécanisme de détoxication qui est observé chez les deux générations; en effet, l'augmentation des GSTs, chez les séries traitées, par rapport aux séries témoins, est retrouvée à tous les stades de développement de la G0 et de la G1. Il faut noter, cependant, que l'induction de l'enzyme est plus importante à la G1.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