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l'actualisation et gestion durable des ressources en eau des bassins des hauts plateaux constantinois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Djorfi; Saâdane/ Zouini, Derradji/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Hydrogéologie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inondation/ gareat el tar/ semi-aride/ </w:t>
            </w:r>
          </w:p>
        </w:tc>
      </w:tr>
    </w:tbl>
    <w:p>
      <w:pPr>
        <w:pStyle w:val="Heading3"/>
      </w:pPr>
      <w:r>
        <w:t>Résumé :</w:t>
      </w:r>
    </w:p>
    <w:p>
      <w:r>
        <w:t>Le Nord de l'Algérie a connu une grave sécheresse pendant près de 15 ans, de 1987 à 2002. Ce qui a poussé l’état à adopter le Plan National de l’eau (PNE) qui s’appuie sur la mobilisation intensive des ressources en eau, pour subvenir à couvrir les besoins croissants de cette ressources. Une autre problématique liée à l’eau se pose, elle concerne de nombreux incidents d’inondations durant les deux dernières décennies, à ce fait le PNE est élargi, pour développer une stratégie nationale de lutte contre les inondations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