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facteurs de risque environnementaux des dysfonctionnements thyroïdiens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Adjabi; Nesrine/ Djekoune-Bensoltane, Samira/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thyroîde/ dysfonctionnement/ facteur de risque./ </w:t>
            </w:r>
          </w:p>
        </w:tc>
      </w:tr>
    </w:tbl>
    <w:p>
      <w:pPr>
        <w:pStyle w:val="Heading3"/>
      </w:pPr>
      <w:r>
        <w:t>Résumé :</w:t>
      </w:r>
    </w:p>
    <w:p>
      <w:r>
        <w:t xml:space="preserve">Des millions de personnes dans le monde souffrent d'une forme de maladie thyroïdienne, telles que l'augmentation du volume de la glande thyroïde (goitre), les nodules thyroïdiens cancéreux ou non, une hyperthyroïdie, une hypothyroïdie ou bien les tumeurs thyroïdiennes.La thyroïde est sans doute la glande endocrine la plus vulnérable aux modifications de son environnement. La fonction thyroïdienne peut être affectée par des facteurs naturels présents normalement dans nvironnement, comme l'iode ou les phytogoitrogènes, et par des facteurs synthétiques, administrés sciemment, comme certains médicaments, ou de manière non intentionnelle mais ubiquitaire pour les produits qui contaminent l'environnement. </w:t>
        <w:br/>
        <w:br/>
        <w:t xml:space="preserve">La prévalence des maladies de la glande thyroïde varie d'un pays à un autre. En Algérie aussi, on connaît, ces dernières années, une recrudescence des pathologies thyroïdiennes plus au moins significative.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