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des cytokines et du monoxyde d'azote dans les désordres immuno-inflammatoires associés à la pathogénèse du ptérygion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Zidi; Sourour/ Touil-Boukoffa, Chafia/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cytokines/ inflammation/ no synthase/ ptérygion/ </w:t>
            </w:r>
          </w:p>
        </w:tc>
      </w:tr>
    </w:tbl>
    <w:p>
      <w:pPr>
        <w:pStyle w:val="Heading3"/>
      </w:pPr>
      <w:r>
        <w:t>Résumé :</w:t>
      </w:r>
    </w:p>
    <w:p>
      <w:r>
        <w:t xml:space="preserve">Le ptérygion est une maladie de la surface oculaire qui touche uniquement l'être humain. C'est une tumeur bénigne de forme triangulaire, qui se trouve le plus souvent dans l'aire de la fente palpébrale et préférentiellement dans le secteur nasal. C'est une néoformation conjonctivo-élastique qui évolue en menaçant le centre cornéen et par conséquent l'acuité visuelle. Malgré son caractère bénin, sa tendance à la récidive même après un traitement chirurgical, en fait un véritable défi thérapeutique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