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et essai de reconstitution de quelques milieux humides tourbeux de la Numidie Occidentale (complexe de Guerbès-Senhadja) au cours de l’Holocène récent et implication pour la conser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t; Karim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idie/ paléoécologie/ complexe de zone humides guerbès-senhadj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uerbès-Senhadja) au cours de l’Holocène récent et implication pour la conservation : cas de l’Aulnaie Bouchagora et de l’Eriçaie/prairie humide Sidi Freit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