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Contrôle de la Stabilité Dynamique des Structures elastoplastiques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Chenia; Mahmoud/ Hacene chaouche, Abdelmadjid/ </w:t>
            </w:r>
          </w:p>
        </w:tc>
      </w:tr>
      <w:tr>
        <w:trPr>
          <w:trHeight w:val="567"/>
        </w:trPr>
        <w:tc>
          <w:tcPr>
            <w:tcW w:type="dxa" w:w="3000"/>
          </w:tcPr>
          <w:p>
            <w:r>
              <w:t>Nombre de Pages</w:t>
            </w:r>
          </w:p>
        </w:tc>
        <w:tc>
          <w:tcPr>
            <w:tcW w:type="dxa" w:w="7000"/>
          </w:tcPr>
          <w:p>
            <w:r>
              <w:t>188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Doctarat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dynamique des systèmes non linéaires/ stabilité dynamique des systèmes/ élastoplastique, écrouissage cinématique/ </w:t>
            </w:r>
          </w:p>
        </w:tc>
      </w:tr>
    </w:tbl>
    <w:p>
      <w:pPr>
        <w:pStyle w:val="Heading3"/>
      </w:pPr>
      <w:r>
        <w:t>Résumé :</w:t>
      </w:r>
    </w:p>
    <w:p>
      <w:r>
        <w:t>La dynamique des systèmes non linéaires (DSNL), appliquée aux structures à matériaux non réguliers (ou inélastique), constitue une branche de connaissance qui, désormais, n’est plusconfinées aux théoriciens et ne peut plus être ignorée par le spécialiste en génie civil. En effet,une des raisons qui doit motiver la connaissance de la dynamique des systèmes (et de la théoriedes stabilités) est que ce dernier est entraîné à calculer des solutions à un problème posé(constructions, ouvrages d’art, barrages …), mais qu’il est beaucoup moins sensibilisé às’assurer de la stabilité de ces solutions sous variation de conditions initiales ou autres.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