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 de tarification des risques en assurance non-vie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Sadoun; Ahmed/ Remita, Mohamed Riad/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Bonus-malus/ modèle linéaire généralisé/ crédibilité, fonction de perte/ </w:t>
            </w:r>
          </w:p>
        </w:tc>
      </w:tr>
    </w:tbl>
    <w:p>
      <w:pPr>
        <w:pStyle w:val="Heading3"/>
      </w:pPr>
      <w:r>
        <w:t>Résumé :</w:t>
      </w:r>
    </w:p>
    <w:p>
      <w:r>
        <w:t>Dans cette thèse, nous expliquons d'abord les différentes méthodes classiques de tarification des risques en assurance non-vie. Deux approches de calcul des primes concernant la théorie de crédibilité sont proposées. Dans un premier temps, nous considérons la distribution Gamma Lindley (GaL) comme une distribution conditionnelle, nous nous basons sur l'estimateur de la prime bayésienne sous les fonctions de perte de l'erreur quadratique moyenne et linex avec des distributions à priori informatives. En utilisant l'approximation de Lindley, des simulations numériques et une étude comparative sont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