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et modélisation de la pollution des eaux par les métaux lourds au niveau de la décharge de berka zerga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Foufou; Atif/ Djorfi, Saâdane/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décharge urbaine/ eaux souterraine/ lixiviat/ </w:t>
            </w:r>
          </w:p>
        </w:tc>
      </w:tr>
    </w:tbl>
    <w:p>
      <w:pPr>
        <w:pStyle w:val="Heading3"/>
      </w:pPr>
      <w:r>
        <w:t>Résumé :</w:t>
      </w:r>
    </w:p>
    <w:p>
      <w:r>
        <w:t>L'ancienne décharge intercommunale d'annaba est l'une des nombreuses décharges</w:t>
        <w:br/>
        <w:br/>
        <w:t>non contrôlées de l'algérie. le site recevait près de 200 tonnes/jour de déchets solidesd'origines urbaines et industrielles, stockés directement sur le sol. les eaux souterrainescirculent à faible profondeur dans les formations quaternaires et surtout métamorphiques,caractérisées par une importante perméabilité de fissures, les eaux de la nappe affleurent enplusieurs endroits de la décharge.afin d'évaluer l'impact des lixiviats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