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rejets urbains et domestiques sur la qualité des eaux de l’oued saf saf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Boubelli; Salim/ Chaffai, Hicham/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indice de pollution/ eutrophisation/ biodégradabilité/ </w:t>
            </w:r>
          </w:p>
        </w:tc>
      </w:tr>
    </w:tbl>
    <w:p>
      <w:pPr>
        <w:pStyle w:val="Heading3"/>
      </w:pPr>
      <w:r>
        <w:t>Résumé :</w:t>
      </w:r>
    </w:p>
    <w:p>
      <w:r>
        <w:t>Afin d'évaluer cette pollution à l'oued saf-saf et ses conséquences sur l'environnement, un suivi de la qualité est effectué durant deux années pour les eaux de surface et souterraines. les résultats obtenues sont représentés en graphiques spatio-temporelles, les indices de pollution organiques, les indices d'eutrophisation, les indices calco-carboniques, les indices de corrosivité et les influences des différents facteurs (climatiques, lithologiques, paramètres physico-chimiques). cette étude montre que les eaux de surface et celles souterraines sont contaminées mais reflètent un degré de pollution faible à modérée pour les eaux de surface et nulle à faible pour les eaux souterraines. cette  pollution qui n'est pas biodégradable laisse penser que la plupart des eaux analysées ne sont pas potables pour la consommation humaine, elle présente un risque léger à modéré pour l'irrigation dans la majorité des puits, une tendance légère à moyenne via la corrosion pour les eaux de surface et une nette tendance à la corrosion pour les eaux souterraines.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