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incertitudes de l'interaction sol-structure sur le flambement des conduites flexibles enterrées dans un sol élastique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Khemis; Asma/ Chaouche, Abdelmadjid Hacene/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flambement/ pasternak model/ winkler model incertitude/ </w:t>
            </w:r>
          </w:p>
        </w:tc>
      </w:tr>
    </w:tbl>
    <w:p>
      <w:pPr>
        <w:pStyle w:val="Heading3"/>
      </w:pPr>
      <w:r>
        <w:t>Résumé :</w:t>
      </w:r>
    </w:p>
    <w:p>
      <w:r>
        <w:t xml:space="preserve">Les dommages des structures de génie civil sont la conséquence des décisions prises concernant l'incertitude sur certaines conditions. En général, les conduites flexibles enterrées sont conçus par rapport à leur comportement transversal pour prévenir et empêcher le mode le plus important de rupture par flambement. De ce fait, le présent travail de recherche traite de l' évaluation des effets de ces incertitudes sur celle de  la force critique circonférentielle de flambement des conduites flexibles superficiellement enterrés en utilisant la théorie du module de réaction (modèle Winkler ) et la méthode du premier ordre et second Moment (and First-OrderSecond-Moment (FOSM)). Les résultats montrent que les incertitudes structurelles des conduites étudiées et celles des propriétés du sol ont un effet significatif sur l'incertitude de la force critique de flambement, et donc, il est requis d'en tenir compte dans la conception des tubes flexibles faiblement enterrés par rapport à leur comportement au flambement.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