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modelisation de l' anisotropie des perovskites et des manoparticules magnetidues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Tag; Mohamed Amine/ Khene, Samir/ </w:t>
            </w:r>
          </w:p>
        </w:tc>
      </w:tr>
      <w:tr>
        <w:trPr>
          <w:trHeight w:val="567"/>
        </w:trPr>
        <w:tc>
          <w:tcPr>
            <w:tcW w:type="dxa" w:w="3000"/>
          </w:tcPr>
          <w:p>
            <w:r>
              <w:t>Nombre de Pages</w:t>
            </w:r>
          </w:p>
        </w:tc>
        <w:tc>
          <w:tcPr>
            <w:tcW w:type="dxa" w:w="7000"/>
          </w:tcPr>
          <w:p>
            <w:r>
              <w:t>108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dft/ mbpt/ gwa/ énergie de gap/ </w:t>
            </w:r>
          </w:p>
        </w:tc>
      </w:tr>
    </w:tbl>
    <w:p>
      <w:pPr>
        <w:pStyle w:val="Heading3"/>
      </w:pPr>
      <w:r>
        <w:t>Résumé :</w:t>
      </w:r>
    </w:p>
    <w:p>
      <w:r>
        <w:t xml:space="preserve">Dans ce travail, nous avons calculé les propriétés structurales et élastiques des pérovskites cubiques LaAlO3, PbTiO3, SrTiO3, BaTiO3, LaTiO3 et LaCrO3en utilisant la théorie de la fonctionnelle de la densité (Density FunctionalTheory ou simplement DFT) et les pseudo-potentiels (PP), en traitant l'énergie d'échange etde corrélation par l'approximation du gradient généralisé (GeneralizedGradient Approximationou simplement GGA).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