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Diversité, dynamique spatiotemporelle et toxicité potentielle des cyanobactéries dans deux plans d'eau (Réservoir Hammam Debagh et lac Oubeira)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Guellati; Fatma Zohra/ Bensouilah, Mourad/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cyanobactéries/ microcystines/ microcysitissp/ planktothrixrubescens/ </w:t>
            </w:r>
          </w:p>
        </w:tc>
      </w:tr>
    </w:tbl>
    <w:p>
      <w:pPr>
        <w:pStyle w:val="Heading3"/>
      </w:pPr>
      <w:r>
        <w:t>Résumé :</w:t>
      </w:r>
    </w:p>
    <w:p>
      <w:r>
        <w:t xml:space="preserve">Les objectifs visés dans le cadre de cette thèse sont i) l'étude de l'écologie de P. rubescens dans la retenue Hammam Debagh ; ii) l'identification, dans ce même plan d'eau, des principaux facteurs et processus impliqués dans la co-occurrence et parfois la prolifération de Planktothrixrubescens et/ou Microcystissp. ; iii) la détermination du potentiel toxique des cyanobactéries dans la retenue Hammam Debagh. iv) l'étude comparative de la dynamique temporelle des phycosphères de cyanobactéries dans la retenue Hammam Debagh et le lac Oubeira.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