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Reconfiguration dynamique des architectures logicielles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Mezghache; Rida/ Atil, Fadila/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architecture logicielle/ acme/ architectures basées composants/ armani/ </w:t>
            </w:r>
          </w:p>
        </w:tc>
      </w:tr>
    </w:tbl>
    <w:p>
      <w:pPr>
        <w:pStyle w:val="Heading3"/>
      </w:pPr>
      <w:r>
        <w:t>Résumé :</w:t>
      </w:r>
    </w:p>
    <w:p>
      <w:r>
        <w:t xml:space="preserve">En réponse au besoin croissant d'évolutivité des systèmes et en parallèle au besoin de fiabilité, le travail de recherche effectué dans cette thèse s'inscrit dans le cadre du domaine de l'évolution d'architecture logicielle. Il a comme objectif principal l'introduction d'une approche permettant d'assurer la fiabilité d'une architecture à base de composants tout au long de son évolution. Le langage de description d'architectures Acme est au cœur de notre travail. C'est un langage déclaratif basé sur la logique de prédicat de premier ordre, qui prend en charge le paradigme des composants et des connecteurs avec les types, ainsi que les invariants et les styles architecturaux, et il supporte également les contraintes.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