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champignons mycorhiziens à arbuscules dans la culture de la tomate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Ziane; Hana/ Chekchaki ,Samir/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champignons mycorhiziensarbusculaires/ funneliformismosseae/ septoglomusconstrictum/ </w:t>
            </w:r>
          </w:p>
        </w:tc>
      </w:tr>
    </w:tbl>
    <w:p>
      <w:pPr>
        <w:pStyle w:val="Heading3"/>
      </w:pPr>
      <w:r>
        <w:t>Résumé :</w:t>
      </w:r>
    </w:p>
    <w:p>
      <w:r>
        <w:t xml:space="preserve">L'utilisation d'engrais chimiques en agriculture permet des rendements satisfaisants, toutefois, cela peut avoir des effets néfastes sur l'environnement et la santé humaine. La réduction des quantités d'engrais utilisés devient alors une nécessité. A cet effet, les champignons mycorhiziens à arbuscules (CMA) constituent des outils biologiques efficaces pour uneoptimisation de leur utilisation. L'objectif de ce présent travail a étéd'évaluer les conséquences des pratiques culturales sur les communautés de CMA naturellement présentes dans quelques champs du Nord-Est algérien d'une part et de tester le potentiel des CMA pour une agriculture plus productive et moins dépendante des fertilisants chimiques, d'autre part.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