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l'activité et de la sélectivité des lipases dans des milieux non conventionnels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Belafriekh; Abderahmane/ Djeghaba, Zeineddine/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acylation enzymatique/ lipase/ enantiosélectivité/ alcools racémiques/ </w:t>
            </w:r>
          </w:p>
        </w:tc>
      </w:tr>
    </w:tbl>
    <w:p>
      <w:pPr>
        <w:pStyle w:val="Heading3"/>
      </w:pPr>
      <w:r>
        <w:t>Résumé :</w:t>
      </w:r>
    </w:p>
    <w:p>
      <w:r>
        <w:t>Ce travail de thèse s'inscrit dans le cadre d'utilisation des biocatalyseurs dans la synthèse organique, nous nous sommes intéressés à la mise en œuvre d'un procédé biocatalytique efficace et respectueux de l'environnement par les lipases pour la résolution énantiosélective des alcools racémiques en utilisant les ultrasons comme outil pour l'activation des réactions et des solvants verts comme milieux réactionnels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