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 catalyseurs solides en synthese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Bougheloum; Chafika/ Messalhi, Abdelrani/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hétéropolyanions type dawson/ catalyseur solide/ acylsulfamides/ </w:t>
            </w:r>
          </w:p>
        </w:tc>
      </w:tr>
    </w:tbl>
    <w:p>
      <w:pPr>
        <w:pStyle w:val="Heading3"/>
      </w:pPr>
      <w:r>
        <w:t>Résumé :</w:t>
      </w:r>
    </w:p>
    <w:p>
      <w:r>
        <w:t xml:space="preserve">Les travaux présentés dans ce manuscrit concernent l'application des hétéropolyanions en synthèse organique. Utilisés pour leur caractère acide, ils montrent des propriétés catalytiques intéressantes. De part leur nature solide et sans danger de manipulation,les hétéropolyanionssont tout indiqués pour une chimie plus verte.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