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insecticide, l'indoxacarbe sur la reproduction d'un modèle à intérêt médical Bllattella germanica (Blattaria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Djemaoun; Amel/ Habes, D./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blattella germanica/ l 'indoxacarbe/ toxicité,morphométrie/ </w:t>
            </w:r>
          </w:p>
        </w:tc>
      </w:tr>
    </w:tbl>
    <w:p>
      <w:pPr>
        <w:pStyle w:val="Heading3"/>
      </w:pPr>
      <w:r>
        <w:t>Résumé :</w:t>
      </w:r>
    </w:p>
    <w:p>
      <w:r>
        <w:t xml:space="preserve">Les blattes sont des insectes nuisibles du fait de leur tendance à proliférer et de leur facilité d'adaptation. elles peuvent transmettre des agents pathogènes et provoquer des allergies chez l'homme. en algérie blattella. germanica (dictyoptera: blattellidae),  est l'espèce la plus répandue dans la région d'annaba. la  lutte chimique contre les blattes a été effectuée avec des insecticides conventionnels tels que : les organochlorés, les organophosphorés et les carbamates qui ont  provoqué un phénomène de résistance chez B. germanica et des effets néfastes sur les organismes non visés.  L'indoxacarbe, une nouvelle molécule non-répulsive efficace à faible dose qui appartient à la famille des oxadiazines a été testée chez B. germanicaafin d'évaluer  son efficacité d'une part et d'autre  part examiner les effets de cet insecticide sur les différents paramètres de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