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enrichissement des matières premières feldspathiques d’Ain-Barbar-Annaba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 Abdeslam/ Bounouala, Mohamed/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annaba/ Séparation magnétique/ ain barbar/ feldspath/ </w:t>
            </w:r>
          </w:p>
        </w:tc>
      </w:tr>
    </w:tbl>
    <w:p>
      <w:pPr>
        <w:pStyle w:val="Heading3"/>
      </w:pPr>
      <w:r>
        <w:t>Résumé :</w:t>
      </w:r>
    </w:p>
    <w:p>
      <w:r>
        <w:t xml:space="preserve">Les feldspaths sont répandus dans l’écorce terrestre mais seuls les feldspaths potassiques et sodiques sont très recherchés dans l’industrie céramique et verrière. Pour qu’ils soient utilisables, ces matériaux doivent contenir très peu d’impuretés nocives d’oxyde de fer et surtout de silice.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