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controle d' une chaine eolienne de conversion de l' energie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Dekhane; Azzeddine/ Abderrezak, Abdallah/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énergies renouvelables/ énergie éolienne/ </w:t>
            </w:r>
          </w:p>
        </w:tc>
      </w:tr>
    </w:tbl>
    <w:p>
      <w:pPr>
        <w:pStyle w:val="Heading3"/>
      </w:pPr>
      <w:r>
        <w:t>Résumé :</w:t>
      </w:r>
    </w:p>
    <w:p>
      <w:r>
        <w:t>L’énergie éolienne joue un rôle de plus en plus important dans le réseau électrique, elle ne peut plus être considérée comme une source d'énergie marginale. Par conséquent, l'impact sur le réseau de l'intermittence, inhérente à ce type d'énergie devient non négligeable. Dans ce travail on passe en revue les objectifs et les techniques utilisées dans le contrôle d’une éolienne tripales à axe horizontal basée sur une génératrice asynchrone doublement alimentée. Nous développons le model en vue de la simulation et l’analyse de la génératrice.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