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gestion de la coévolution des modèles et des métamodèles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Anguel; Fouzia/ Amirat, Abdelkrim/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Programmation logique/ evolution du métamodèle/ migration du modèle/ </w:t>
            </w:r>
          </w:p>
        </w:tc>
      </w:tr>
    </w:tbl>
    <w:p>
      <w:pPr>
        <w:pStyle w:val="Heading3"/>
      </w:pPr>
      <w:r>
        <w:t>Résumé :</w:t>
      </w:r>
    </w:p>
    <w:p>
      <w:r>
        <w:t>L'évolution est inhérente aux systèmes logiciels en raison du progrès  rapide des technologies. Comme les métamodèles sont la pierre angulaire de l'ingénierie dirigée par les modèles (IDM) et ils évoluent de manière itérative, leur évolution  affecte tout le reste des artefacts qui en dépendent, à savoir les modèles ou les règles de transformation. De ce fait, les outils pour la coévolution des modèles et des autres artefacts sont indispensables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