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biologiques, génétiques et diagnostiques de la leishmaniose dans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Beldi; Nadia/ Mansouri, Roukaya/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épidémiologie/ leishmaniose cutanée/ leishmaniose viscérale/ </w:t>
            </w:r>
          </w:p>
        </w:tc>
      </w:tr>
    </w:tbl>
    <w:p>
      <w:pPr>
        <w:pStyle w:val="Heading3"/>
      </w:pPr>
      <w:r>
        <w:t>Résumé :</w:t>
      </w:r>
    </w:p>
    <w:p>
      <w:r>
        <w:t>Deux formes de leishmaniose coexistent en algérie : la leishmaniosecutanée (lc) et la leishmaniose viscérale (lv) à l. infantum. cette dernière est la forme mortelle qui s'étend sur toute la partie nord du pays. la lc est présente sous deux formes cliniques distinctes : la forme cutanée sporadique du nord à l. infantum et la forme cutanée zoonotique à l. major. suite à la réémergence de la leishmaniose dans le monde entier et en algérie également, cette étude portant sur le diagnostic des leishmanioses cutanée et viscérale au sein du c.h.u d'annaba, ainsi que l'identification moléculaire de l'agent causale au sein de l'ipt. les résultats généraux obtenus montrent une augmentation du nombre de cas de lc par rapport à celui du lv avec une variabilité géographique et épidémiologique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