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des betons ordinaires a base de copeaux de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Khelifi; Walid/ Belouettar, Redjem/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béton/ copeaux de bois/ copeaux de bois traités/ </w:t>
            </w:r>
          </w:p>
        </w:tc>
      </w:tr>
    </w:tbl>
    <w:p>
      <w:pPr>
        <w:pStyle w:val="Heading3"/>
      </w:pPr>
      <w:r>
        <w:t>Résumé :</w:t>
      </w:r>
    </w:p>
    <w:p>
      <w:r>
        <w:t xml:space="preserve">Les déchets industriels dégagent actuellement des problèmes particulièrement difficiles à résoudre. Or leur réutilisation pourrait résoudre un triple problème : problèmes techniques, économiques et environnementaux. Par ailleurs, la valorisation des matériaux locaux est devenue, actuellement, une solution nécessaire aux problèmes économiques des pays. C'est dans cette situation que s'ouvre la réflexion sur la formulation d'un nouveau béton utilisant des ressources abondantes et présentant des caractéristiques soit comparables aux bétons usuels, soit répondant à des exigences mal assurées par ces deniers.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