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optimale d'une MADA associée à une éol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ounis; Ouassila/ Labar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ine eolienne/ onduleur mli/ redresseur mli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s dernières années, il y a eu une évolution de la production d'électricité basée sur l'énergie éolienne. Ce type d'énergie est l'objet de cette étude, un modèle de la turbine éolienne a été établi, puis de la génératrice asynchrone à rotor bobiné à double alimentation (GADA), où le stator est alimenté par un réseau fixe alors que le rotor est alimenté à travers un convertisseur AC/DC-DC/AC (Onduleur triphasé MLI - Redresseur MLI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