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Utilisation des modèles Arch-Garch pour modéliser le marché de l'énergie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Bousseba; Fatma Zohra/ Zeghdoudi, Halim/ </w:t>
            </w:r>
          </w:p>
        </w:tc>
      </w:tr>
      <w:tr>
        <w:trPr>
          <w:trHeight w:val="567"/>
        </w:trPr>
        <w:tc>
          <w:tcPr>
            <w:tcW w:type="dxa" w:w="3000"/>
          </w:tcPr>
          <w:p>
            <w:r>
              <w:t>Nombre de Pages</w:t>
            </w:r>
          </w:p>
        </w:tc>
        <w:tc>
          <w:tcPr>
            <w:tcW w:type="dxa" w:w="7000"/>
          </w:tcPr>
          <w:p>
            <w:r>
              <w:t>78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modèles garch/ volatilité/ marché du pétrole/ </w:t>
            </w:r>
          </w:p>
        </w:tc>
      </w:tr>
    </w:tbl>
    <w:p>
      <w:pPr>
        <w:pStyle w:val="Heading3"/>
      </w:pPr>
      <w:r>
        <w:t>Résumé :</w:t>
      </w:r>
    </w:p>
    <w:p>
      <w:r>
        <w:t xml:space="preserve">Nous proposons, dans cette thèse, de donner l'intérêt à des modèles ARCH-GARCH et leurs applications dans la valeur à risque. Plus précisément, nous donnons un aperçu bibliographique exhaustif sur le développement de ses modèles. D'autre part, nous nous s'intéressons aux swaps de volatilité sous le modèle de Heston et la tarification des swaps de variance et de volatilité dans le marché du pétrole (modèle retour à la moyenne). De plus, nous ajoutons un autre intérêt des modèles GARCH on présente une application concerne la volatilité du taux de change du prix du pétrole. L'étude porte sur la période du 1er janvier 2009 au 31 décembre 2014, soit 2192 observations, et un exemple numérique de prix du pétrole (août 1987-octobre 2016) a été donné dont nous utilisons les swaps de volatilité sous le modèle GARCH (1,1) en temps continu (retour à la moyenne).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