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connaissance de l'effet bactéricide et la cytotoxicité des oxydes nanocristallins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Bouarroudj; Tayeb/ Benloucif, Mohamed Rida/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paramécie/ effet bactéricide/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étude , nous nous sommes d'abord intéressés à obtenir  des nanoparticules de SnO2,pure et dopé (Fe et Ag),en adoptant deux démarches différentes. La première a consisté à broyer mécaniquement et à haute énergie , une poudre commerciale de départ et ce, en fonction du temps. Parallèlement à cela , une procédure classique de la synthèse chimique a été suivie , pour élaborer des nanoparticules de SnO2 pure et dopé (Fe et Ag).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