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connaissance de l'effet bactéricide et la cytotoxicité des oxydes nanocristallins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Bouarroudj; Tayeb/ Benloucif, Mohamed 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paramécie/ effet bactéricide/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 , nous nous sommes d'abord intéressés à obtenir  des nanoparticules de SnO2,pure et dopé (Fe et Ag),en adoptant deux démarches différentes. La première a consisté à broyer mécaniquement et à haute énergie , une poudre commerciale de départ et ce, en fonction du temps. Parallèlement à cela , une procédure classique de la synthèse chimique a été suivie , pour élaborer des nanoparticules de SnO2 pure et dopé (Fe et Ag).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