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Activité du Spiromesifen en application topique sur la reproduction de drosophila melanogaster (Diptera)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Kissoum; Nesrine/ Soltani, 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drosophila melanogaster/ spiromesifen/ métabolisme énergétique/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Cette étude vise à évaluer les effets sublétaux du spiromesifen (oberon® 240 sc), un nouvel insecticide/acaricide systémique considéré comme un inhibiteur de la biosynthèse des lipides chez drosophila melanogaster meigen, 1830 (diptera, drosophilidae), sur plusieurs paramètres physiologiques et biochimiques.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